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AB11A0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МЕДИЦИНСКОМУ ПРИМЕНЕНИЮ ЛЕКАРСТВЕННОГО ПРЕПАРАТА</w:t>
      </w:r>
    </w:p>
    <w:p w:rsidR="00DA2B59" w:rsidRPr="00E85C17" w:rsidRDefault="0048200D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Салициловая мазь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48200D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553BDA">
        <w:rPr>
          <w:rFonts w:ascii="Times New Roman" w:hAnsi="Times New Roman" w:cs="Times New Roman"/>
          <w:sz w:val="24"/>
          <w:szCs w:val="24"/>
        </w:rPr>
        <w:t>С</w:t>
      </w:r>
      <w:r w:rsidR="0048200D">
        <w:rPr>
          <w:rFonts w:ascii="Times New Roman" w:hAnsi="Times New Roman" w:cs="Times New Roman"/>
          <w:sz w:val="24"/>
          <w:szCs w:val="24"/>
        </w:rPr>
        <w:t>алициловая мазь</w:t>
      </w:r>
    </w:p>
    <w:p w:rsidR="0048200D" w:rsidRDefault="00DA2B59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A2B59" w:rsidRPr="005D5976" w:rsidRDefault="00AB11A0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8200D">
        <w:rPr>
          <w:rFonts w:ascii="Times New Roman" w:hAnsi="Times New Roman" w:cs="Times New Roman"/>
          <w:bCs/>
          <w:sz w:val="24"/>
          <w:szCs w:val="24"/>
        </w:rPr>
        <w:t>алициловая кислота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5"/>
        <w:gridCol w:w="996"/>
      </w:tblGrid>
      <w:tr w:rsidR="004A708F" w:rsidRPr="00B76B04" w:rsidTr="0048200D">
        <w:tc>
          <w:tcPr>
            <w:tcW w:w="8575" w:type="dxa"/>
          </w:tcPr>
          <w:p w:rsidR="00FE7627" w:rsidRPr="0048200D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D"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tbl>
            <w:tblPr>
              <w:tblStyle w:val="a5"/>
              <w:tblW w:w="8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992"/>
              <w:gridCol w:w="992"/>
              <w:gridCol w:w="993"/>
            </w:tblGrid>
            <w:tr w:rsidR="0048200D" w:rsidRPr="0048200D" w:rsidTr="0048200D">
              <w:tc>
                <w:tcPr>
                  <w:tcW w:w="538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Действующее вещество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200D" w:rsidRPr="0048200D" w:rsidTr="0048200D">
              <w:tc>
                <w:tcPr>
                  <w:tcW w:w="538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Салициловая кислота, 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2,0 г 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 г</w:t>
                  </w:r>
                </w:p>
              </w:tc>
              <w:tc>
                <w:tcPr>
                  <w:tcW w:w="993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 г</w:t>
                  </w:r>
                </w:p>
              </w:tc>
            </w:tr>
            <w:tr w:rsidR="0048200D" w:rsidRPr="0048200D" w:rsidTr="0048200D">
              <w:tc>
                <w:tcPr>
                  <w:tcW w:w="538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Вспомогательные вещества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200D" w:rsidRPr="0048200D" w:rsidTr="0048200D">
              <w:tc>
                <w:tcPr>
                  <w:tcW w:w="5382" w:type="dxa"/>
                </w:tcPr>
                <w:p w:rsidR="0048200D" w:rsidRPr="0048200D" w:rsidRDefault="0048200D" w:rsidP="004820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Вазелин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98,0 г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97,0 г</w:t>
                  </w:r>
                </w:p>
              </w:tc>
              <w:tc>
                <w:tcPr>
                  <w:tcW w:w="993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95,0г</w:t>
                  </w:r>
                </w:p>
              </w:tc>
            </w:tr>
          </w:tbl>
          <w:p w:rsidR="004A708F" w:rsidRPr="0048200D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4A708F" w:rsidRPr="0048200D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E7627" w:rsidRDefault="0048200D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Однородная м</w:t>
      </w:r>
      <w:r w:rsidR="00FE7627">
        <w:rPr>
          <w:rFonts w:ascii="Times New Roman" w:hAnsi="Times New Roman" w:cs="Times New Roman"/>
          <w:sz w:val="24"/>
          <w:szCs w:val="24"/>
        </w:rPr>
        <w:t xml:space="preserve">азь </w:t>
      </w:r>
      <w:r w:rsidR="001B7DA8">
        <w:rPr>
          <w:rFonts w:ascii="Times New Roman" w:hAnsi="Times New Roman" w:cs="Times New Roman"/>
          <w:sz w:val="24"/>
          <w:szCs w:val="24"/>
        </w:rPr>
        <w:t>от белого до светло-желтого цвета.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00D">
        <w:rPr>
          <w:rFonts w:ascii="Times New Roman" w:hAnsi="Times New Roman" w:cs="Times New Roman"/>
          <w:bCs/>
          <w:sz w:val="24"/>
          <w:szCs w:val="24"/>
        </w:rPr>
        <w:t>кератолитическое</w:t>
      </w:r>
      <w:proofErr w:type="spellEnd"/>
      <w:r w:rsidR="0048200D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5D5976" w:rsidRPr="00FE7627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1B7DA8">
        <w:rPr>
          <w:rFonts w:ascii="Times New Roman" w:hAnsi="Times New Roman" w:cs="Times New Roman"/>
          <w:bCs/>
          <w:sz w:val="24"/>
          <w:szCs w:val="24"/>
        </w:rPr>
        <w:t>0</w:t>
      </w:r>
      <w:r w:rsidR="0048200D">
        <w:rPr>
          <w:rFonts w:ascii="Times New Roman" w:hAnsi="Times New Roman" w:cs="Times New Roman"/>
          <w:bCs/>
          <w:sz w:val="24"/>
          <w:szCs w:val="24"/>
        </w:rPr>
        <w:t>1</w:t>
      </w:r>
      <w:r w:rsidR="001B7DA8" w:rsidRPr="001B7DA8">
        <w:rPr>
          <w:rFonts w:ascii="Times New Roman" w:hAnsi="Times New Roman" w:cs="Times New Roman"/>
          <w:bCs/>
          <w:sz w:val="24"/>
          <w:szCs w:val="24"/>
        </w:rPr>
        <w:t>А</w:t>
      </w:r>
      <w:r w:rsidR="0048200D">
        <w:rPr>
          <w:rFonts w:ascii="Times New Roman" w:hAnsi="Times New Roman" w:cs="Times New Roman"/>
          <w:bCs/>
          <w:sz w:val="24"/>
          <w:szCs w:val="24"/>
        </w:rPr>
        <w:t>Е12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AB11A0" w:rsidRDefault="00AB11A0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:rsidR="001B7DA8" w:rsidRPr="003D1D34" w:rsidRDefault="0048200D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кератолитическое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антисептическое,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местнораздражающее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противовоспалительное действие.</w:t>
      </w:r>
    </w:p>
    <w:p w:rsidR="00AB11A0" w:rsidRDefault="00AB11A0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:rsidR="00AB11A0" w:rsidRPr="00AB11A0" w:rsidRDefault="00AB11A0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наружном применении возможна системная абсорбция.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214F0" w:rsidRPr="003D1D34" w:rsidRDefault="00F970A3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Воспалительные и инфекционные поражения кожи, ожоги, </w:t>
      </w:r>
      <w:r w:rsidR="00AB11A0">
        <w:rPr>
          <w:rFonts w:ascii="Times New Roman" w:hAnsi="Times New Roman" w:cs="Times New Roman"/>
          <w:sz w:val="24"/>
          <w:szCs w:val="24"/>
        </w:rPr>
        <w:t xml:space="preserve">экзема, ихтиоз, гиперкератоз, </w:t>
      </w:r>
      <w:r>
        <w:rPr>
          <w:rFonts w:ascii="Times New Roman" w:hAnsi="Times New Roman" w:cs="Times New Roman"/>
          <w:sz w:val="24"/>
          <w:szCs w:val="24"/>
        </w:rPr>
        <w:t>псориаз.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622285" w:rsidRPr="00622285" w:rsidRDefault="00AB11A0" w:rsidP="00536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чувствительность к салициловой кислоте и другим компонентам препарата</w:t>
      </w:r>
      <w:r w:rsidR="00536579">
        <w:rPr>
          <w:rFonts w:ascii="Times New Roman" w:hAnsi="Times New Roman" w:cs="Times New Roman"/>
          <w:sz w:val="24"/>
          <w:szCs w:val="24"/>
        </w:rPr>
        <w:t>,</w:t>
      </w:r>
      <w:r w:rsidR="00F970A3">
        <w:rPr>
          <w:rFonts w:ascii="Times New Roman" w:hAnsi="Times New Roman" w:cs="Times New Roman"/>
          <w:sz w:val="24"/>
          <w:szCs w:val="24"/>
        </w:rPr>
        <w:t xml:space="preserve"> почечная недостаточность, детский возраст,</w:t>
      </w:r>
      <w:r w:rsidR="00536579">
        <w:rPr>
          <w:rFonts w:ascii="Times New Roman" w:hAnsi="Times New Roman" w:cs="Times New Roman"/>
          <w:sz w:val="24"/>
          <w:szCs w:val="24"/>
        </w:rPr>
        <w:t xml:space="preserve"> беременность</w:t>
      </w:r>
      <w:r w:rsidR="00F970A3">
        <w:rPr>
          <w:rFonts w:ascii="Times New Roman" w:hAnsi="Times New Roman" w:cs="Times New Roman"/>
          <w:sz w:val="24"/>
          <w:szCs w:val="24"/>
        </w:rPr>
        <w:t xml:space="preserve"> и</w:t>
      </w:r>
      <w:r w:rsidR="00536579">
        <w:rPr>
          <w:rFonts w:ascii="Times New Roman" w:hAnsi="Times New Roman" w:cs="Times New Roman"/>
          <w:sz w:val="24"/>
          <w:szCs w:val="24"/>
        </w:rPr>
        <w:t xml:space="preserve"> период грудного вскармливания.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536579" w:rsidRDefault="00FF3F09" w:rsidP="00536579">
      <w:pPr>
        <w:pStyle w:val="3"/>
        <w:rPr>
          <w:iCs/>
        </w:rPr>
      </w:pPr>
      <w:r>
        <w:rPr>
          <w:iCs/>
        </w:rPr>
        <w:t xml:space="preserve">Наружно. </w:t>
      </w:r>
    </w:p>
    <w:p w:rsidR="00536579" w:rsidRDefault="00F970A3" w:rsidP="00832DFE">
      <w:pPr>
        <w:pStyle w:val="3"/>
        <w:rPr>
          <w:iCs/>
        </w:rPr>
      </w:pPr>
      <w:r>
        <w:rPr>
          <w:iCs/>
        </w:rPr>
        <w:lastRenderedPageBreak/>
        <w:t>Наносят на пораженную область (около 0,2 г на 1 кв. см) и закрывают стерильной салфеткой или накладывают стерильную повязку, пропитанную мазью (перед наложением поверхность очищают от некротических тканей, вскрывают пузыри</w:t>
      </w:r>
      <w:r w:rsidR="00832DFE">
        <w:rPr>
          <w:iCs/>
        </w:rPr>
        <w:t>, промывают антисептическим раствором)</w:t>
      </w:r>
      <w:r w:rsidR="00536579">
        <w:rPr>
          <w:iCs/>
        </w:rPr>
        <w:t>.</w:t>
      </w:r>
      <w:r w:rsidR="00832DFE">
        <w:rPr>
          <w:iCs/>
        </w:rPr>
        <w:t xml:space="preserve"> Смену повязки производят 1 раз в 2 – 3 дня до полного очищения от гнойно-некротических масс.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536579" w:rsidRDefault="00AB11A0" w:rsidP="00DA2B59">
      <w:pPr>
        <w:pStyle w:val="3"/>
        <w:rPr>
          <w:iCs/>
        </w:rPr>
      </w:pPr>
      <w:r>
        <w:rPr>
          <w:iCs/>
        </w:rPr>
        <w:t xml:space="preserve">Аллергические реакции (в </w:t>
      </w:r>
      <w:proofErr w:type="spellStart"/>
      <w:r>
        <w:rPr>
          <w:iCs/>
        </w:rPr>
        <w:t>т.ч</w:t>
      </w:r>
      <w:proofErr w:type="spellEnd"/>
      <w:r>
        <w:rPr>
          <w:iCs/>
        </w:rPr>
        <w:t>. кожная сыпь); местные реакции</w:t>
      </w:r>
      <w:r w:rsidR="00D73CAA">
        <w:rPr>
          <w:iCs/>
        </w:rPr>
        <w:t xml:space="preserve"> (</w:t>
      </w:r>
      <w:r>
        <w:rPr>
          <w:iCs/>
        </w:rPr>
        <w:t xml:space="preserve">раздражение, </w:t>
      </w:r>
      <w:r w:rsidR="00D73CAA">
        <w:rPr>
          <w:iCs/>
        </w:rPr>
        <w:t>жжение, зуд, гиперемия</w:t>
      </w:r>
      <w:r>
        <w:rPr>
          <w:iCs/>
        </w:rPr>
        <w:t xml:space="preserve"> кожи</w:t>
      </w:r>
      <w:r w:rsidR="00D73CAA">
        <w:rPr>
          <w:iCs/>
        </w:rPr>
        <w:t>)</w:t>
      </w:r>
      <w:r>
        <w:rPr>
          <w:iCs/>
        </w:rPr>
        <w:t>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617E5E" w:rsidRDefault="00AB11A0" w:rsidP="00DA2B59">
      <w:pPr>
        <w:pStyle w:val="3"/>
        <w:rPr>
          <w:iCs/>
        </w:rPr>
      </w:pPr>
      <w:r>
        <w:rPr>
          <w:iCs/>
        </w:rPr>
        <w:t>До настоящего времени сведений о случаях передозировки при применении препарата не поступало</w:t>
      </w:r>
      <w:r w:rsidR="00D73CAA">
        <w:rPr>
          <w:iCs/>
        </w:rPr>
        <w:t>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2061F0" w:rsidRDefault="00D73CAA" w:rsidP="00DA2B59">
      <w:pPr>
        <w:pStyle w:val="3"/>
        <w:rPr>
          <w:iCs/>
        </w:rPr>
      </w:pPr>
      <w:r>
        <w:rPr>
          <w:iCs/>
        </w:rPr>
        <w:t xml:space="preserve">Салициловая кислота может повысить проницаемость кожи для других лекарственных средств для местного применения и тем самым усилить их всасывание. Всосавшаяся салициловая кислота может усилить побочные эффекты </w:t>
      </w:r>
      <w:proofErr w:type="spellStart"/>
      <w:r>
        <w:rPr>
          <w:iCs/>
        </w:rPr>
        <w:t>метотрексана</w:t>
      </w:r>
      <w:proofErr w:type="spellEnd"/>
      <w:r>
        <w:rPr>
          <w:iCs/>
        </w:rPr>
        <w:t xml:space="preserve"> и пероральных гипогликемических лекарственных средств, производных </w:t>
      </w:r>
      <w:proofErr w:type="spellStart"/>
      <w:r>
        <w:rPr>
          <w:iCs/>
        </w:rPr>
        <w:t>сульфонилмочевины</w:t>
      </w:r>
      <w:proofErr w:type="spellEnd"/>
      <w:r>
        <w:rPr>
          <w:iCs/>
        </w:rPr>
        <w:t>.</w:t>
      </w:r>
    </w:p>
    <w:p w:rsidR="005D0221" w:rsidRDefault="005D0221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2061F0" w:rsidRDefault="00C127BA" w:rsidP="00AB73F1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Не следует наносить препарат на родимые пятна, бородавки в </w:t>
      </w:r>
      <w:proofErr w:type="spellStart"/>
      <w:r>
        <w:rPr>
          <w:iCs/>
          <w:color w:val="auto"/>
        </w:rPr>
        <w:t>т.ч</w:t>
      </w:r>
      <w:proofErr w:type="spellEnd"/>
      <w:r>
        <w:rPr>
          <w:iCs/>
          <w:color w:val="auto"/>
        </w:rPr>
        <w:t>. в области гениталий и лица</w:t>
      </w:r>
      <w:r w:rsidR="00D54FDB">
        <w:rPr>
          <w:iCs/>
          <w:color w:val="auto"/>
        </w:rPr>
        <w:t>.</w:t>
      </w:r>
    </w:p>
    <w:p w:rsidR="00D54FDB" w:rsidRDefault="00D54FDB" w:rsidP="00AB73F1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Необходимо учитывать, что при кожных заболеваниях, протекающих с гиперемией и воспалением (в </w:t>
      </w:r>
      <w:proofErr w:type="spellStart"/>
      <w:r>
        <w:rPr>
          <w:iCs/>
          <w:color w:val="auto"/>
        </w:rPr>
        <w:t>т.ч</w:t>
      </w:r>
      <w:proofErr w:type="spellEnd"/>
      <w:r>
        <w:rPr>
          <w:iCs/>
          <w:color w:val="auto"/>
        </w:rPr>
        <w:t xml:space="preserve">. при </w:t>
      </w:r>
      <w:proofErr w:type="spellStart"/>
      <w:r>
        <w:rPr>
          <w:iCs/>
          <w:color w:val="auto"/>
        </w:rPr>
        <w:t>псориатической</w:t>
      </w:r>
      <w:proofErr w:type="spellEnd"/>
      <w:r>
        <w:rPr>
          <w:iCs/>
          <w:color w:val="auto"/>
        </w:rPr>
        <w:t xml:space="preserve"> эритродермии) или с поверхностными мокнущими поражениями, возможно повышение всасывания салициловой кислоты.</w:t>
      </w:r>
    </w:p>
    <w:p w:rsidR="00D54FDB" w:rsidRDefault="00D54FDB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При попадании на слизистые оболочки необходимо промыть соответствующую область большим количеством воды.</w:t>
      </w: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:rsidR="00B226AD" w:rsidRPr="00B226AD" w:rsidRDefault="00D54FDB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Препарат не влияет на способность управлять транспортными средствами, механизмами.</w:t>
      </w:r>
    </w:p>
    <w:p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C127BA" w:rsidRDefault="00C127BA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Мазь для наружного применения 2 %, 3 %, 5 %.</w:t>
      </w:r>
    </w:p>
    <w:p w:rsidR="00D13C80" w:rsidRDefault="00B226AD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04D88">
        <w:rPr>
          <w:rFonts w:ascii="Times New Roman" w:hAnsi="Times New Roman" w:cs="Times New Roman"/>
          <w:sz w:val="24"/>
          <w:szCs w:val="24"/>
        </w:rPr>
        <w:t xml:space="preserve">15, 20, 25 или 30 г </w:t>
      </w:r>
      <w:r w:rsidR="00D13C80">
        <w:rPr>
          <w:rFonts w:ascii="Times New Roman" w:hAnsi="Times New Roman" w:cs="Times New Roman"/>
          <w:sz w:val="24"/>
          <w:szCs w:val="24"/>
        </w:rPr>
        <w:t>в банки темного стекла типа БТС укупоренные крышками</w:t>
      </w:r>
      <w:r w:rsidR="004B6227">
        <w:rPr>
          <w:rFonts w:ascii="Times New Roman" w:hAnsi="Times New Roman" w:cs="Times New Roman"/>
          <w:sz w:val="24"/>
          <w:szCs w:val="24"/>
        </w:rPr>
        <w:t xml:space="preserve"> </w:t>
      </w:r>
      <w:r w:rsidR="00D13C80">
        <w:rPr>
          <w:rFonts w:ascii="Times New Roman" w:hAnsi="Times New Roman" w:cs="Times New Roman"/>
          <w:sz w:val="24"/>
          <w:szCs w:val="24"/>
        </w:rPr>
        <w:t xml:space="preserve"> </w:t>
      </w:r>
      <w:r w:rsidR="004B6227" w:rsidRPr="004B6227">
        <w:rPr>
          <w:rFonts w:ascii="Times New Roman" w:hAnsi="Times New Roman" w:cs="Times New Roman"/>
          <w:sz w:val="24"/>
          <w:szCs w:val="24"/>
        </w:rPr>
        <w:t xml:space="preserve">полиэтиленовыми </w:t>
      </w:r>
      <w:r w:rsidR="00D13C80">
        <w:rPr>
          <w:rFonts w:ascii="Times New Roman" w:hAnsi="Times New Roman" w:cs="Times New Roman"/>
          <w:sz w:val="24"/>
          <w:szCs w:val="24"/>
        </w:rPr>
        <w:t xml:space="preserve">натягиваемыми с уплотняющим элементом типа 1.2. На банки наклеивают этикетки </w:t>
      </w:r>
      <w:r w:rsidR="00E33DC3">
        <w:rPr>
          <w:rFonts w:ascii="Times New Roman" w:hAnsi="Times New Roman" w:cs="Times New Roman"/>
          <w:sz w:val="24"/>
          <w:szCs w:val="24"/>
        </w:rPr>
        <w:t xml:space="preserve">из бумаги этикеточной или </w:t>
      </w:r>
      <w:proofErr w:type="gramStart"/>
      <w:r w:rsidR="00E33DC3">
        <w:rPr>
          <w:rFonts w:ascii="Times New Roman" w:hAnsi="Times New Roman" w:cs="Times New Roman"/>
          <w:sz w:val="24"/>
          <w:szCs w:val="24"/>
        </w:rPr>
        <w:t>писчей</w:t>
      </w:r>
      <w:proofErr w:type="gramEnd"/>
      <w:r w:rsidR="00E33DC3">
        <w:rPr>
          <w:rFonts w:ascii="Times New Roman" w:hAnsi="Times New Roman" w:cs="Times New Roman"/>
          <w:sz w:val="24"/>
          <w:szCs w:val="24"/>
        </w:rPr>
        <w:t xml:space="preserve"> или самоклеящиеся</w:t>
      </w:r>
    </w:p>
    <w:p w:rsidR="00D13C80" w:rsidRDefault="00D13C80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746C">
        <w:rPr>
          <w:rFonts w:ascii="Times New Roman" w:hAnsi="Times New Roman" w:cs="Times New Roman"/>
          <w:sz w:val="24"/>
          <w:szCs w:val="24"/>
        </w:rPr>
        <w:t xml:space="preserve">25 г и </w:t>
      </w:r>
      <w:r>
        <w:rPr>
          <w:rFonts w:ascii="Times New Roman" w:hAnsi="Times New Roman" w:cs="Times New Roman"/>
          <w:sz w:val="24"/>
          <w:szCs w:val="24"/>
        </w:rPr>
        <w:t>30 г в тубы алюм</w:t>
      </w:r>
      <w:r w:rsidR="00A211E8">
        <w:rPr>
          <w:rFonts w:ascii="Times New Roman" w:hAnsi="Times New Roman" w:cs="Times New Roman"/>
          <w:sz w:val="24"/>
          <w:szCs w:val="24"/>
        </w:rPr>
        <w:t>иниевые</w:t>
      </w:r>
      <w:r w:rsidR="00D57C29">
        <w:rPr>
          <w:rFonts w:ascii="Times New Roman" w:hAnsi="Times New Roman" w:cs="Times New Roman"/>
          <w:sz w:val="24"/>
          <w:szCs w:val="24"/>
        </w:rPr>
        <w:t xml:space="preserve"> укупоренные бушоном</w:t>
      </w:r>
      <w:r w:rsidR="00A211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Каждую</w:t>
      </w:r>
      <w:r w:rsidR="00C127BA"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</w:rPr>
        <w:t xml:space="preserve">нку или алюминиевую тубу вместе с инструкцией по медицинскому применению помещают в пачку из картона. </w:t>
      </w:r>
      <w:bookmarkStart w:id="0" w:name="_GoBack"/>
      <w:r w:rsidRPr="00696AC4">
        <w:rPr>
          <w:rFonts w:ascii="Times New Roman" w:hAnsi="Times New Roman" w:cs="Times New Roman"/>
          <w:sz w:val="24"/>
          <w:szCs w:val="24"/>
        </w:rPr>
        <w:t>Пачки помещают в групповую упаковку.</w:t>
      </w:r>
      <w:bookmarkEnd w:id="0"/>
    </w:p>
    <w:p w:rsidR="00D54FDB" w:rsidRPr="00C448EA" w:rsidRDefault="00D54FDB" w:rsidP="00D5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A">
        <w:rPr>
          <w:rFonts w:ascii="Times New Roman" w:hAnsi="Times New Roman" w:cs="Times New Roman"/>
          <w:sz w:val="24"/>
          <w:szCs w:val="24"/>
        </w:rPr>
        <w:t>Допускается упаковка банок или туб без пачки от 9 до 300 штук с равным количеством инструкций по медицинскому применению помещают в коробки из картона гофрированного или картона для потребительской тары (Для стационаров).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lastRenderedPageBreak/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3160B5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D54FDB" w:rsidP="00DA2B59">
      <w:pPr>
        <w:pStyle w:val="3"/>
        <w:rPr>
          <w:iCs/>
        </w:rPr>
      </w:pPr>
      <w:r>
        <w:rPr>
          <w:iCs/>
        </w:rPr>
        <w:t>2 года</w:t>
      </w:r>
      <w:r w:rsidR="00DA2B59" w:rsidRPr="00D152E7">
        <w:rPr>
          <w:iCs/>
        </w:rPr>
        <w:t xml:space="preserve">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</w:t>
      </w:r>
      <w:r w:rsidR="00C127BA">
        <w:rPr>
          <w:rFonts w:ascii="Times New Roman" w:hAnsi="Times New Roman"/>
          <w:b/>
          <w:sz w:val="24"/>
          <w:szCs w:val="24"/>
        </w:rPr>
        <w:t xml:space="preserve"> от потребителей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="00553BDA">
        <w:rPr>
          <w:szCs w:val="23"/>
        </w:rPr>
        <w:t>х</w:t>
      </w:r>
      <w:r w:rsidRPr="00B2511A">
        <w:rPr>
          <w:szCs w:val="23"/>
        </w:rPr>
        <w:t>имфармзавод</w:t>
      </w:r>
      <w:proofErr w:type="spellEnd"/>
      <w:r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 xml:space="preserve">тел./факс: </w:t>
      </w:r>
      <w:r w:rsidR="005E51CE">
        <w:rPr>
          <w:szCs w:val="23"/>
        </w:rPr>
        <w:t xml:space="preserve">+7 </w:t>
      </w:r>
      <w:r w:rsidRPr="00B2511A">
        <w:rPr>
          <w:szCs w:val="23"/>
        </w:rPr>
        <w:t xml:space="preserve">(39543) 58910, </w:t>
      </w:r>
      <w:r w:rsidR="005E51CE">
        <w:rPr>
          <w:szCs w:val="23"/>
        </w:rPr>
        <w:t xml:space="preserve">+7 </w:t>
      </w:r>
      <w:r w:rsidR="005E51CE" w:rsidRPr="00B2511A">
        <w:rPr>
          <w:szCs w:val="23"/>
        </w:rPr>
        <w:t>(39543)</w:t>
      </w:r>
      <w:r w:rsidR="005E51CE">
        <w:rPr>
          <w:szCs w:val="23"/>
        </w:rPr>
        <w:t xml:space="preserve"> 5</w:t>
      </w:r>
      <w:r w:rsidRPr="00B2511A">
        <w:rPr>
          <w:szCs w:val="23"/>
        </w:rPr>
        <w:t>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C127BA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r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="00DA2B59" w:rsidRPr="00B2511A">
        <w:rPr>
          <w:rFonts w:ascii="Times New Roman" w:hAnsi="Times New Roman"/>
          <w:sz w:val="24"/>
          <w:szCs w:val="24"/>
        </w:rPr>
        <w:t>”</w:t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proofErr w:type="spellStart"/>
      <w:r w:rsidR="00DA2B59"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="00DA2B59"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025DFF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C5" w:rsidRDefault="00F15AC5" w:rsidP="00566353">
      <w:pPr>
        <w:spacing w:after="0" w:line="240" w:lineRule="auto"/>
      </w:pPr>
      <w:r>
        <w:separator/>
      </w:r>
    </w:p>
  </w:endnote>
  <w:endnote w:type="continuationSeparator" w:id="0">
    <w:p w:rsidR="00F15AC5" w:rsidRDefault="00F15AC5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C5" w:rsidRDefault="00F15AC5" w:rsidP="00566353">
      <w:pPr>
        <w:spacing w:after="0" w:line="240" w:lineRule="auto"/>
      </w:pPr>
      <w:r>
        <w:separator/>
      </w:r>
    </w:p>
  </w:footnote>
  <w:footnote w:type="continuationSeparator" w:id="0">
    <w:p w:rsidR="00F15AC5" w:rsidRDefault="00F15AC5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1A446F"/>
    <w:rsid w:val="001B7DA8"/>
    <w:rsid w:val="001F2D5C"/>
    <w:rsid w:val="002061F0"/>
    <w:rsid w:val="00285A94"/>
    <w:rsid w:val="003160B5"/>
    <w:rsid w:val="0031746C"/>
    <w:rsid w:val="003332D7"/>
    <w:rsid w:val="003D1D34"/>
    <w:rsid w:val="0048200D"/>
    <w:rsid w:val="004A2AE7"/>
    <w:rsid w:val="004A708F"/>
    <w:rsid w:val="004B6227"/>
    <w:rsid w:val="00536579"/>
    <w:rsid w:val="00540A28"/>
    <w:rsid w:val="00553BDA"/>
    <w:rsid w:val="00566353"/>
    <w:rsid w:val="005D0221"/>
    <w:rsid w:val="005D5976"/>
    <w:rsid w:val="005E51CE"/>
    <w:rsid w:val="00617E5E"/>
    <w:rsid w:val="00620F67"/>
    <w:rsid w:val="00622285"/>
    <w:rsid w:val="00690C41"/>
    <w:rsid w:val="006A2275"/>
    <w:rsid w:val="007274E9"/>
    <w:rsid w:val="007E4D80"/>
    <w:rsid w:val="007F7F57"/>
    <w:rsid w:val="00817C57"/>
    <w:rsid w:val="00832DFE"/>
    <w:rsid w:val="008D058B"/>
    <w:rsid w:val="00921EAD"/>
    <w:rsid w:val="009745E0"/>
    <w:rsid w:val="009A6305"/>
    <w:rsid w:val="00A211E8"/>
    <w:rsid w:val="00A777E4"/>
    <w:rsid w:val="00AB11A0"/>
    <w:rsid w:val="00AB73F1"/>
    <w:rsid w:val="00AE43DC"/>
    <w:rsid w:val="00AE660A"/>
    <w:rsid w:val="00B11C6A"/>
    <w:rsid w:val="00B226AD"/>
    <w:rsid w:val="00BF59FE"/>
    <w:rsid w:val="00C127BA"/>
    <w:rsid w:val="00C214F0"/>
    <w:rsid w:val="00C25C26"/>
    <w:rsid w:val="00CD6718"/>
    <w:rsid w:val="00CF7EFB"/>
    <w:rsid w:val="00D04D88"/>
    <w:rsid w:val="00D068C9"/>
    <w:rsid w:val="00D13C80"/>
    <w:rsid w:val="00D40E28"/>
    <w:rsid w:val="00D54FDB"/>
    <w:rsid w:val="00D57C29"/>
    <w:rsid w:val="00D73CAA"/>
    <w:rsid w:val="00D95545"/>
    <w:rsid w:val="00DA2B59"/>
    <w:rsid w:val="00DA679A"/>
    <w:rsid w:val="00DB1403"/>
    <w:rsid w:val="00DE2DD7"/>
    <w:rsid w:val="00E32B3D"/>
    <w:rsid w:val="00E33DC3"/>
    <w:rsid w:val="00E85C17"/>
    <w:rsid w:val="00EA3780"/>
    <w:rsid w:val="00F15AC5"/>
    <w:rsid w:val="00F970A3"/>
    <w:rsid w:val="00FD7B87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3B33-925F-42A9-B34B-7A0F6960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A693-9C08-4BE3-B1DF-3927199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Гюлахмедова Перизад Мирзабеговна</cp:lastModifiedBy>
  <cp:revision>18</cp:revision>
  <cp:lastPrinted>2020-04-07T12:25:00Z</cp:lastPrinted>
  <dcterms:created xsi:type="dcterms:W3CDTF">2018-09-14T13:43:00Z</dcterms:created>
  <dcterms:modified xsi:type="dcterms:W3CDTF">2020-06-29T14:18:00Z</dcterms:modified>
</cp:coreProperties>
</file>